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4C" w:rsidRPr="00765B4C" w:rsidRDefault="00765B4C" w:rsidP="00765B4C">
      <w:pPr>
        <w:jc w:val="center"/>
        <w:outlineLvl w:val="0"/>
        <w:rPr>
          <w:rFonts w:asciiTheme="minorHAnsi" w:hAnsiTheme="minorHAnsi"/>
          <w:b/>
        </w:rPr>
      </w:pPr>
      <w:r w:rsidRPr="00765B4C">
        <w:rPr>
          <w:rFonts w:asciiTheme="minorHAnsi" w:hAnsiTheme="minorHAnsi"/>
          <w:b/>
        </w:rPr>
        <w:t>EMIS Health Ltd – EMIS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65B4C" w:rsidRPr="00765B4C" w:rsidTr="00BE5DBE">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rsidP="00BE5DBE">
            <w:pPr>
              <w:spacing w:after="0" w:line="240" w:lineRule="auto"/>
              <w:rPr>
                <w:rFonts w:asciiTheme="minorHAnsi" w:hAnsiTheme="minorHAnsi"/>
                <w:i/>
                <w:color w:val="000000"/>
                <w:lang w:eastAsia="en-GB"/>
              </w:rPr>
            </w:pPr>
          </w:p>
          <w:p w:rsidR="00765B4C" w:rsidRPr="00765B4C" w:rsidRDefault="00765B4C" w:rsidP="00BE5DBE">
            <w:pPr>
              <w:spacing w:after="0" w:line="240" w:lineRule="auto"/>
              <w:rPr>
                <w:rFonts w:asciiTheme="minorHAnsi" w:hAnsiTheme="minorHAnsi"/>
                <w:i/>
                <w:color w:val="000000"/>
                <w:lang w:eastAsia="en-GB"/>
              </w:rPr>
            </w:pPr>
            <w:r w:rsidRPr="00765B4C">
              <w:rPr>
                <w:rFonts w:asciiTheme="minorHAnsi" w:hAnsiTheme="minorHAnsi"/>
                <w:i/>
                <w:color w:val="000000"/>
                <w:lang w:eastAsia="en-GB"/>
              </w:rPr>
              <w:t>Plain English Explanation</w:t>
            </w:r>
          </w:p>
          <w:p w:rsidR="00765B4C" w:rsidRPr="00765B4C" w:rsidRDefault="00765B4C" w:rsidP="00BE5DBE">
            <w:pPr>
              <w:spacing w:after="0" w:line="240" w:lineRule="auto"/>
              <w:rPr>
                <w:rFonts w:asciiTheme="minorHAnsi" w:hAnsiTheme="minorHAnsi"/>
                <w:i/>
                <w:color w:val="000000"/>
                <w:lang w:eastAsia="en-GB"/>
              </w:rPr>
            </w:pPr>
            <w:bookmarkStart w:id="0" w:name="_GoBack"/>
            <w:bookmarkEnd w:id="0"/>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rsidP="00BE5DBE">
            <w:pPr>
              <w:spacing w:after="0" w:line="240" w:lineRule="auto"/>
              <w:rPr>
                <w:rFonts w:asciiTheme="minorHAnsi" w:hAnsiTheme="minorHAnsi"/>
                <w:color w:val="000000"/>
                <w:lang w:eastAsia="en-GB"/>
              </w:rPr>
            </w:pPr>
            <w:r w:rsidRPr="00765B4C">
              <w:rPr>
                <w:rFonts w:asciiTheme="minorHAnsi" w:hAnsiTheme="minorHAnsi"/>
              </w:rPr>
              <w:br/>
            </w:r>
            <w:r w:rsidRPr="00765B4C">
              <w:rPr>
                <w:rFonts w:asciiTheme="minorHAnsi" w:hAnsiTheme="minorHAnsi"/>
                <w:color w:val="000000"/>
                <w:lang w:eastAsia="en-GB"/>
              </w:rPr>
              <w:t>This privacy notice covers the collection and recording of information within the patient GP electronic record.</w:t>
            </w:r>
          </w:p>
          <w:p w:rsidR="00765B4C" w:rsidRPr="00765B4C" w:rsidRDefault="00765B4C" w:rsidP="00BE5DBE">
            <w:pPr>
              <w:spacing w:after="0" w:line="240" w:lineRule="auto"/>
              <w:rPr>
                <w:rFonts w:asciiTheme="minorHAnsi" w:hAnsiTheme="minorHAnsi"/>
                <w:color w:val="000000"/>
                <w:lang w:eastAsia="en-GB"/>
              </w:rPr>
            </w:pPr>
          </w:p>
          <w:p w:rsidR="00765B4C" w:rsidRPr="00765B4C" w:rsidRDefault="00765B4C" w:rsidP="00BE5DBE">
            <w:pPr>
              <w:spacing w:after="0" w:line="240" w:lineRule="auto"/>
              <w:rPr>
                <w:rFonts w:asciiTheme="minorHAnsi" w:hAnsiTheme="minorHAnsi"/>
                <w:color w:val="000000"/>
                <w:lang w:eastAsia="en-GB"/>
              </w:rPr>
            </w:pPr>
            <w:r w:rsidRPr="00765B4C">
              <w:rPr>
                <w:rFonts w:asciiTheme="minorHAnsi" w:hAnsiTheme="minorHAnsi"/>
                <w:color w:val="000000"/>
                <w:lang w:eastAsia="en-GB"/>
              </w:rPr>
              <w:t>The majority of information recorded arises from consultations (face to face, telephone, email, etc.) with the patient.</w:t>
            </w:r>
          </w:p>
          <w:p w:rsidR="00765B4C" w:rsidRPr="00765B4C" w:rsidRDefault="00765B4C" w:rsidP="00BE5DBE">
            <w:pPr>
              <w:spacing w:after="0" w:line="240" w:lineRule="auto"/>
              <w:rPr>
                <w:rFonts w:asciiTheme="minorHAnsi" w:hAnsiTheme="minorHAnsi"/>
                <w:color w:val="000000"/>
                <w:lang w:eastAsia="en-GB"/>
              </w:rPr>
            </w:pPr>
          </w:p>
          <w:p w:rsidR="00765B4C" w:rsidRPr="00765B4C" w:rsidRDefault="00765B4C" w:rsidP="00BE5DBE">
            <w:pPr>
              <w:spacing w:after="0" w:line="240" w:lineRule="auto"/>
              <w:rPr>
                <w:rFonts w:asciiTheme="minorHAnsi" w:hAnsiTheme="minorHAnsi"/>
                <w:color w:val="000000"/>
                <w:lang w:eastAsia="en-GB"/>
              </w:rPr>
            </w:pPr>
            <w:r w:rsidRPr="00765B4C">
              <w:rPr>
                <w:rFonts w:asciiTheme="minorHAnsi" w:hAnsiTheme="minorHAnsi"/>
                <w:color w:val="000000"/>
                <w:lang w:eastAsia="en-GB"/>
              </w:rPr>
              <w:t>It includes data added to the record directly (typed), added electronically (e.g. results), as well as letters and other documents that are scanned, or photographs that are taken, and subsequently added to the record.</w:t>
            </w:r>
          </w:p>
          <w:p w:rsidR="00765B4C" w:rsidRPr="00765B4C" w:rsidRDefault="00765B4C" w:rsidP="00BE5DBE">
            <w:pPr>
              <w:spacing w:after="0" w:line="240" w:lineRule="auto"/>
              <w:rPr>
                <w:rFonts w:asciiTheme="minorHAnsi" w:hAnsiTheme="minorHAnsi"/>
                <w:color w:val="000000"/>
                <w:lang w:eastAsia="en-GB"/>
              </w:rPr>
            </w:pPr>
          </w:p>
          <w:p w:rsidR="00765B4C" w:rsidRPr="00765B4C" w:rsidRDefault="00765B4C" w:rsidP="00BE5DBE">
            <w:pPr>
              <w:spacing w:after="0" w:line="240" w:lineRule="auto"/>
              <w:rPr>
                <w:rFonts w:asciiTheme="minorHAnsi" w:hAnsiTheme="minorHAnsi"/>
                <w:color w:val="000000"/>
                <w:lang w:eastAsia="en-GB"/>
              </w:rPr>
            </w:pPr>
            <w:r w:rsidRPr="00765B4C">
              <w:rPr>
                <w:rFonts w:asciiTheme="minorHAnsi" w:hAnsiTheme="minorHAnsi"/>
                <w:color w:val="000000"/>
                <w:lang w:eastAsia="en-GB"/>
              </w:rPr>
              <w:t>Woodland Road Surgery</w:t>
            </w:r>
            <w:r w:rsidRPr="00765B4C">
              <w:rPr>
                <w:rFonts w:asciiTheme="minorHAnsi" w:hAnsiTheme="minorHAnsi"/>
                <w:color w:val="000000"/>
                <w:lang w:eastAsia="en-GB"/>
              </w:rPr>
              <w:t xml:space="preserve"> records such information in line with Article 5 of the GDPR:</w:t>
            </w:r>
          </w:p>
          <w:p w:rsidR="00765B4C" w:rsidRPr="00765B4C" w:rsidRDefault="00765B4C" w:rsidP="00BE5DBE">
            <w:pPr>
              <w:spacing w:after="0" w:line="240" w:lineRule="auto"/>
              <w:rPr>
                <w:rFonts w:asciiTheme="minorHAnsi" w:hAnsiTheme="minorHAnsi"/>
                <w:color w:val="000000"/>
                <w:lang w:eastAsia="en-GB"/>
              </w:rPr>
            </w:pPr>
          </w:p>
          <w:p w:rsidR="00765B4C" w:rsidRPr="00765B4C" w:rsidRDefault="00765B4C" w:rsidP="00BE5DBE">
            <w:pPr>
              <w:pStyle w:val="ListParagraph"/>
              <w:numPr>
                <w:ilvl w:val="0"/>
                <w:numId w:val="5"/>
              </w:numPr>
              <w:spacing w:after="0" w:line="240" w:lineRule="auto"/>
              <w:rPr>
                <w:rFonts w:asciiTheme="minorHAnsi" w:hAnsiTheme="minorHAnsi"/>
                <w:i/>
                <w:color w:val="000000"/>
                <w:lang w:eastAsia="en-GB"/>
              </w:rPr>
            </w:pPr>
            <w:r w:rsidRPr="00765B4C">
              <w:rPr>
                <w:rFonts w:asciiTheme="minorHAnsi" w:hAnsiTheme="minorHAnsi"/>
                <w:i/>
                <w:color w:val="000000"/>
                <w:lang w:eastAsia="en-GB"/>
              </w:rPr>
              <w:t>“adequate, relevant and limited to what is necessary”</w:t>
            </w:r>
          </w:p>
          <w:p w:rsidR="00765B4C" w:rsidRPr="00765B4C" w:rsidRDefault="00765B4C" w:rsidP="00BE5DBE">
            <w:pPr>
              <w:pStyle w:val="ListParagraph"/>
              <w:numPr>
                <w:ilvl w:val="0"/>
                <w:numId w:val="5"/>
              </w:numPr>
              <w:spacing w:after="0" w:line="240" w:lineRule="auto"/>
              <w:rPr>
                <w:rFonts w:asciiTheme="minorHAnsi" w:hAnsiTheme="minorHAnsi"/>
                <w:i/>
                <w:color w:val="000000"/>
                <w:lang w:eastAsia="en-GB"/>
              </w:rPr>
            </w:pPr>
            <w:r w:rsidRPr="00765B4C">
              <w:rPr>
                <w:rFonts w:asciiTheme="minorHAnsi" w:hAnsiTheme="minorHAnsi"/>
                <w:i/>
                <w:color w:val="000000"/>
                <w:lang w:eastAsia="en-GB"/>
              </w:rPr>
              <w:t>“accurate and, where necessary, kept up to date”</w:t>
            </w:r>
          </w:p>
          <w:p w:rsidR="00765B4C" w:rsidRPr="00765B4C" w:rsidRDefault="00765B4C" w:rsidP="00BE5DBE">
            <w:pPr>
              <w:pStyle w:val="ListParagraph"/>
              <w:numPr>
                <w:ilvl w:val="0"/>
                <w:numId w:val="5"/>
              </w:numPr>
              <w:spacing w:after="0" w:line="240" w:lineRule="auto"/>
              <w:rPr>
                <w:rFonts w:asciiTheme="minorHAnsi" w:hAnsiTheme="minorHAnsi"/>
                <w:i/>
                <w:color w:val="000000"/>
                <w:lang w:eastAsia="en-GB"/>
              </w:rPr>
            </w:pPr>
            <w:r w:rsidRPr="00765B4C">
              <w:rPr>
                <w:rFonts w:asciiTheme="minorHAnsi" w:hAnsiTheme="minorHAnsi"/>
                <w:i/>
                <w:color w:val="000000"/>
                <w:lang w:eastAsia="en-GB"/>
              </w:rPr>
              <w:t>“processed in a manner that ensures appropriate security of the personal data”</w:t>
            </w:r>
          </w:p>
          <w:p w:rsidR="00765B4C" w:rsidRPr="00765B4C" w:rsidRDefault="00765B4C" w:rsidP="00BE5DBE">
            <w:pPr>
              <w:spacing w:after="0" w:line="240" w:lineRule="auto"/>
              <w:rPr>
                <w:rFonts w:asciiTheme="minorHAnsi" w:hAnsiTheme="minorHAnsi"/>
                <w:i/>
                <w:color w:val="000000"/>
                <w:lang w:eastAsia="en-GB"/>
              </w:rPr>
            </w:pPr>
          </w:p>
          <w:p w:rsidR="00765B4C" w:rsidRPr="00765B4C" w:rsidRDefault="00765B4C" w:rsidP="00BE5DBE">
            <w:pPr>
              <w:spacing w:after="0" w:line="240" w:lineRule="auto"/>
              <w:rPr>
                <w:rFonts w:asciiTheme="minorHAnsi" w:hAnsiTheme="minorHAnsi"/>
                <w:color w:val="000000"/>
                <w:lang w:eastAsia="en-GB"/>
              </w:rPr>
            </w:pPr>
            <w:r w:rsidRPr="00765B4C">
              <w:rPr>
                <w:rFonts w:asciiTheme="minorHAnsi" w:hAnsiTheme="minorHAnsi"/>
                <w:color w:val="000000"/>
                <w:lang w:eastAsia="en-GB"/>
              </w:rPr>
              <w:t xml:space="preserve">Information is stored within our EMIS Web database, as hosted by EMIS Health Ltd (who </w:t>
            </w:r>
            <w:proofErr w:type="gramStart"/>
            <w:r w:rsidRPr="00765B4C">
              <w:rPr>
                <w:rFonts w:asciiTheme="minorHAnsi" w:hAnsiTheme="minorHAnsi"/>
                <w:color w:val="000000"/>
                <w:lang w:eastAsia="en-GB"/>
              </w:rPr>
              <w:t>are</w:t>
            </w:r>
            <w:proofErr w:type="gramEnd"/>
            <w:r w:rsidRPr="00765B4C">
              <w:rPr>
                <w:rFonts w:asciiTheme="minorHAnsi" w:hAnsiTheme="minorHAnsi"/>
                <w:color w:val="000000"/>
                <w:lang w:eastAsia="en-GB"/>
              </w:rPr>
              <w:t xml:space="preserve"> acting as the data processor). The database servers are located in Leeds.</w:t>
            </w:r>
          </w:p>
          <w:p w:rsidR="00765B4C" w:rsidRPr="00765B4C" w:rsidRDefault="00765B4C" w:rsidP="00BE5DBE">
            <w:pPr>
              <w:spacing w:after="0" w:line="240" w:lineRule="auto"/>
              <w:rPr>
                <w:rFonts w:asciiTheme="minorHAnsi" w:hAnsiTheme="minorHAnsi"/>
              </w:rPr>
            </w:pPr>
          </w:p>
          <w:p w:rsidR="00765B4C" w:rsidRPr="00765B4C" w:rsidRDefault="00765B4C" w:rsidP="00BE5DBE">
            <w:pPr>
              <w:spacing w:after="0" w:line="240" w:lineRule="auto"/>
              <w:rPr>
                <w:rFonts w:asciiTheme="minorHAnsi" w:hAnsiTheme="minorHAnsi"/>
              </w:rPr>
            </w:pPr>
            <w:r w:rsidRPr="00765B4C">
              <w:rPr>
                <w:rFonts w:asciiTheme="minorHAnsi" w:hAnsiTheme="minorHAnsi"/>
              </w:rPr>
              <w:t>The “</w:t>
            </w:r>
            <w:r w:rsidRPr="00765B4C">
              <w:rPr>
                <w:rFonts w:asciiTheme="minorHAnsi" w:hAnsiTheme="minorHAnsi"/>
                <w:i/>
              </w:rPr>
              <w:t>right to erasure</w:t>
            </w:r>
            <w:r w:rsidRPr="00765B4C">
              <w:rPr>
                <w:rFonts w:asciiTheme="minorHAnsi" w:hAnsiTheme="minorHAnsi"/>
              </w:rPr>
              <w:t xml:space="preserve">” does </w:t>
            </w:r>
            <w:r w:rsidRPr="00765B4C">
              <w:rPr>
                <w:rFonts w:asciiTheme="minorHAnsi" w:hAnsiTheme="minorHAnsi"/>
                <w:b/>
              </w:rPr>
              <w:t>not</w:t>
            </w:r>
            <w:r w:rsidRPr="00765B4C">
              <w:rPr>
                <w:rFonts w:asciiTheme="minorHAnsi" w:hAnsiTheme="minorHAnsi"/>
              </w:rPr>
              <w:t xml:space="preserve"> apply to the keeping of electronic GP records in this way as:</w:t>
            </w:r>
            <w:r w:rsidRPr="00765B4C">
              <w:rPr>
                <w:rFonts w:asciiTheme="minorHAnsi" w:hAnsiTheme="minorHAnsi"/>
              </w:rPr>
              <w:br/>
            </w:r>
          </w:p>
          <w:p w:rsidR="00765B4C" w:rsidRPr="00765B4C" w:rsidRDefault="00765B4C" w:rsidP="00BE5DBE">
            <w:pPr>
              <w:pStyle w:val="ListParagraph"/>
              <w:numPr>
                <w:ilvl w:val="0"/>
                <w:numId w:val="6"/>
              </w:numPr>
              <w:spacing w:after="0" w:line="240" w:lineRule="auto"/>
              <w:rPr>
                <w:rFonts w:asciiTheme="minorHAnsi" w:hAnsiTheme="minorHAnsi"/>
              </w:rPr>
            </w:pPr>
            <w:r w:rsidRPr="00765B4C">
              <w:rPr>
                <w:rFonts w:asciiTheme="minorHAnsi" w:hAnsiTheme="minorHAnsi"/>
                <w:color w:val="000000"/>
                <w:shd w:val="clear" w:color="auto" w:fill="FFFFFF"/>
              </w:rPr>
              <w:t>processing is necessary in the exercise of official authority</w:t>
            </w:r>
            <w:r w:rsidRPr="00765B4C">
              <w:rPr>
                <w:rFonts w:asciiTheme="minorHAnsi" w:hAnsiTheme="minorHAnsi"/>
                <w:color w:val="000000"/>
                <w:shd w:val="clear" w:color="auto" w:fill="FFFFFF"/>
              </w:rPr>
              <w:br/>
              <w:t>Article 6(1)(e)</w:t>
            </w:r>
          </w:p>
          <w:p w:rsidR="00765B4C" w:rsidRPr="00765B4C" w:rsidRDefault="00765B4C" w:rsidP="00BE5DBE">
            <w:pPr>
              <w:pStyle w:val="ListParagraph"/>
              <w:numPr>
                <w:ilvl w:val="0"/>
                <w:numId w:val="6"/>
              </w:numPr>
              <w:spacing w:after="0" w:line="240" w:lineRule="auto"/>
              <w:rPr>
                <w:rFonts w:asciiTheme="minorHAnsi" w:hAnsiTheme="minorHAnsi"/>
              </w:rPr>
            </w:pPr>
            <w:r w:rsidRPr="00765B4C">
              <w:rPr>
                <w:rFonts w:asciiTheme="minorHAnsi" w:hAnsiTheme="minorHAnsi"/>
                <w:color w:val="000000"/>
                <w:shd w:val="clear" w:color="auto" w:fill="FFFFFF"/>
              </w:rPr>
              <w:t>processing is necessary for the provision of health or social care</w:t>
            </w:r>
            <w:r w:rsidRPr="00765B4C">
              <w:rPr>
                <w:rFonts w:asciiTheme="minorHAnsi" w:hAnsiTheme="minorHAnsi"/>
                <w:color w:val="000000"/>
                <w:shd w:val="clear" w:color="auto" w:fill="FFFFFF"/>
              </w:rPr>
              <w:br/>
              <w:t>Article 9(2)(h)</w:t>
            </w:r>
          </w:p>
          <w:p w:rsidR="00765B4C" w:rsidRPr="00765B4C" w:rsidRDefault="00765B4C" w:rsidP="00765B4C">
            <w:pPr>
              <w:spacing w:after="0" w:line="240" w:lineRule="auto"/>
              <w:rPr>
                <w:rFonts w:asciiTheme="minorHAnsi" w:hAnsiTheme="minorHAnsi"/>
              </w:rPr>
            </w:pP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br/>
              <w:t>Identity and contact details of the data controller and the data protection officer</w:t>
            </w:r>
          </w:p>
          <w:p w:rsidR="00765B4C" w:rsidRPr="00765B4C" w:rsidRDefault="00765B4C">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rPr>
            </w:pP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Woodland Road Surgery</w:t>
            </w: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DPO – Rachael Jackson – 0121 475 1065</w:t>
            </w:r>
          </w:p>
          <w:p w:rsidR="00765B4C" w:rsidRPr="00765B4C" w:rsidRDefault="00765B4C">
            <w:pPr>
              <w:spacing w:after="0" w:line="240" w:lineRule="auto"/>
              <w:rPr>
                <w:rFonts w:asciiTheme="minorHAnsi" w:hAnsiTheme="minorHAnsi"/>
              </w:rPr>
            </w:pPr>
            <w:r w:rsidRPr="00765B4C">
              <w:rPr>
                <w:rFonts w:asciiTheme="minorHAnsi" w:hAnsiTheme="minorHAnsi"/>
                <w:color w:val="000000"/>
                <w:lang w:eastAsia="en-GB"/>
              </w:rPr>
              <w:t>woodlandroad.surgery@nhs.net</w:t>
            </w: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rPr>
            </w:pPr>
          </w:p>
          <w:p w:rsidR="00765B4C" w:rsidRPr="00765B4C" w:rsidRDefault="00765B4C">
            <w:pPr>
              <w:spacing w:after="0" w:line="240" w:lineRule="auto"/>
              <w:rPr>
                <w:rFonts w:asciiTheme="minorHAnsi" w:hAnsiTheme="minorHAnsi"/>
                <w:i/>
                <w:color w:val="000000"/>
              </w:rPr>
            </w:pPr>
            <w:r w:rsidRPr="00765B4C">
              <w:rPr>
                <w:rFonts w:asciiTheme="minorHAnsi" w:hAnsiTheme="minorHAnsi"/>
                <w:i/>
                <w:color w:val="000000"/>
              </w:rPr>
              <w:t>How does this comply with the Common Law Duty of Confidentiality?</w:t>
            </w:r>
            <w:r w:rsidRPr="00765B4C">
              <w:rPr>
                <w:rFonts w:asciiTheme="minorHAnsi" w:hAnsiTheme="minorHAnsi"/>
                <w:i/>
                <w:color w:val="000000"/>
              </w:rPr>
              <w:br/>
            </w:r>
          </w:p>
          <w:p w:rsidR="00765B4C" w:rsidRPr="00765B4C" w:rsidRDefault="00765B4C">
            <w:pPr>
              <w:numPr>
                <w:ilvl w:val="0"/>
                <w:numId w:val="1"/>
              </w:numPr>
              <w:spacing w:after="0" w:line="240" w:lineRule="auto"/>
              <w:contextualSpacing/>
              <w:rPr>
                <w:rFonts w:asciiTheme="minorHAnsi" w:hAnsiTheme="minorHAnsi"/>
                <w:i/>
                <w:color w:val="000000"/>
              </w:rPr>
            </w:pPr>
            <w:r w:rsidRPr="00765B4C">
              <w:rPr>
                <w:rFonts w:asciiTheme="minorHAnsi" w:hAnsiTheme="minorHAnsi"/>
                <w:i/>
                <w:color w:val="000000"/>
              </w:rPr>
              <w:t>Consent</w:t>
            </w:r>
          </w:p>
          <w:p w:rsidR="00765B4C" w:rsidRPr="00765B4C" w:rsidRDefault="00765B4C">
            <w:pPr>
              <w:numPr>
                <w:ilvl w:val="0"/>
                <w:numId w:val="2"/>
              </w:numPr>
              <w:spacing w:after="0" w:line="240" w:lineRule="auto"/>
              <w:rPr>
                <w:rFonts w:asciiTheme="minorHAnsi" w:hAnsiTheme="minorHAnsi"/>
                <w:i/>
                <w:color w:val="00B050"/>
              </w:rPr>
            </w:pPr>
            <w:r w:rsidRPr="00765B4C">
              <w:rPr>
                <w:rFonts w:asciiTheme="minorHAnsi" w:hAnsiTheme="minorHAnsi"/>
                <w:i/>
                <w:color w:val="00B050"/>
              </w:rPr>
              <w:lastRenderedPageBreak/>
              <w:t>Implied (e.g. direct care)</w:t>
            </w:r>
          </w:p>
          <w:p w:rsidR="00765B4C" w:rsidRPr="00765B4C" w:rsidRDefault="00765B4C">
            <w:pPr>
              <w:numPr>
                <w:ilvl w:val="0"/>
                <w:numId w:val="2"/>
              </w:numPr>
              <w:spacing w:after="0" w:line="240" w:lineRule="auto"/>
              <w:rPr>
                <w:rFonts w:asciiTheme="minorHAnsi" w:hAnsiTheme="minorHAnsi"/>
                <w:i/>
                <w:color w:val="FF0000"/>
              </w:rPr>
            </w:pPr>
            <w:r w:rsidRPr="00765B4C">
              <w:rPr>
                <w:rFonts w:asciiTheme="minorHAnsi" w:hAnsiTheme="minorHAnsi"/>
                <w:i/>
                <w:color w:val="FF0000"/>
              </w:rPr>
              <w:t>Explicit (e.g. 2</w:t>
            </w:r>
            <w:r w:rsidRPr="00765B4C">
              <w:rPr>
                <w:rFonts w:asciiTheme="minorHAnsi" w:hAnsiTheme="minorHAnsi"/>
                <w:i/>
                <w:color w:val="FF0000"/>
              </w:rPr>
              <w:sym w:font="Symbol" w:char="F0B0"/>
            </w:r>
            <w:r w:rsidRPr="00765B4C">
              <w:rPr>
                <w:rFonts w:asciiTheme="minorHAnsi" w:hAnsiTheme="minorHAnsi"/>
                <w:i/>
                <w:color w:val="FF0000"/>
              </w:rPr>
              <w:t xml:space="preserve"> uses)</w:t>
            </w:r>
          </w:p>
          <w:p w:rsidR="00765B4C" w:rsidRPr="00765B4C" w:rsidRDefault="00765B4C">
            <w:pPr>
              <w:numPr>
                <w:ilvl w:val="0"/>
                <w:numId w:val="1"/>
              </w:numPr>
              <w:spacing w:after="0" w:line="240" w:lineRule="auto"/>
              <w:contextualSpacing/>
              <w:rPr>
                <w:rFonts w:asciiTheme="minorHAnsi" w:hAnsiTheme="minorHAnsi"/>
                <w:i/>
                <w:color w:val="000000"/>
              </w:rPr>
            </w:pPr>
            <w:r w:rsidRPr="00765B4C">
              <w:rPr>
                <w:rFonts w:asciiTheme="minorHAnsi" w:hAnsiTheme="minorHAnsi"/>
                <w:i/>
                <w:color w:val="000000"/>
              </w:rPr>
              <w:t>COPI Regulations 2002</w:t>
            </w:r>
            <w:r w:rsidRPr="00765B4C">
              <w:rPr>
                <w:rFonts w:asciiTheme="minorHAnsi" w:hAnsiTheme="minorHAnsi"/>
                <w:i/>
                <w:color w:val="000000"/>
              </w:rPr>
              <w:br/>
              <w:t xml:space="preserve">(e.g. </w:t>
            </w:r>
            <w:proofErr w:type="spellStart"/>
            <w:r w:rsidRPr="00765B4C">
              <w:rPr>
                <w:rFonts w:asciiTheme="minorHAnsi" w:hAnsiTheme="minorHAnsi"/>
                <w:i/>
                <w:color w:val="000000"/>
              </w:rPr>
              <w:t>Reg</w:t>
            </w:r>
            <w:proofErr w:type="spellEnd"/>
            <w:r w:rsidRPr="00765B4C">
              <w:rPr>
                <w:rFonts w:asciiTheme="minorHAnsi" w:hAnsiTheme="minorHAnsi"/>
                <w:i/>
                <w:color w:val="000000"/>
              </w:rPr>
              <w:t xml:space="preserve"> 5 - “s251”)</w:t>
            </w:r>
          </w:p>
          <w:p w:rsidR="00765B4C" w:rsidRPr="00765B4C" w:rsidRDefault="00765B4C">
            <w:pPr>
              <w:numPr>
                <w:ilvl w:val="0"/>
                <w:numId w:val="1"/>
              </w:numPr>
              <w:spacing w:after="0" w:line="240" w:lineRule="auto"/>
              <w:contextualSpacing/>
              <w:rPr>
                <w:rFonts w:asciiTheme="minorHAnsi" w:hAnsiTheme="minorHAnsi"/>
                <w:i/>
                <w:color w:val="000000"/>
              </w:rPr>
            </w:pPr>
            <w:r w:rsidRPr="00765B4C">
              <w:rPr>
                <w:rFonts w:asciiTheme="minorHAnsi" w:hAnsiTheme="minorHAnsi"/>
                <w:i/>
                <w:color w:val="000000"/>
              </w:rPr>
              <w:t>“overriding public interest”</w:t>
            </w:r>
            <w:r w:rsidRPr="00765B4C">
              <w:rPr>
                <w:rFonts w:asciiTheme="minorHAnsi" w:hAnsiTheme="minorHAnsi"/>
                <w:i/>
                <w:color w:val="000000"/>
              </w:rPr>
              <w:br/>
              <w:t>(to safeguard you or another person)</w:t>
            </w:r>
          </w:p>
          <w:p w:rsidR="00765B4C" w:rsidRPr="00765B4C" w:rsidRDefault="00765B4C">
            <w:pPr>
              <w:numPr>
                <w:ilvl w:val="0"/>
                <w:numId w:val="1"/>
              </w:numPr>
              <w:spacing w:after="0" w:line="240" w:lineRule="auto"/>
              <w:contextualSpacing/>
              <w:rPr>
                <w:rFonts w:asciiTheme="minorHAnsi" w:hAnsiTheme="minorHAnsi"/>
                <w:i/>
                <w:color w:val="000000"/>
              </w:rPr>
            </w:pPr>
            <w:r w:rsidRPr="00765B4C">
              <w:rPr>
                <w:rFonts w:asciiTheme="minorHAnsi" w:hAnsiTheme="minorHAnsi"/>
                <w:i/>
                <w:color w:val="000000"/>
              </w:rPr>
              <w:t>legal obligation (e.g. court order)</w:t>
            </w:r>
          </w:p>
          <w:p w:rsidR="00765B4C" w:rsidRPr="00765B4C" w:rsidRDefault="00765B4C">
            <w:pPr>
              <w:spacing w:after="0" w:line="240" w:lineRule="auto"/>
              <w:contextualSpacing/>
              <w:rPr>
                <w:rFonts w:asciiTheme="minorHAnsi" w:hAnsiTheme="minorHAnsi"/>
                <w:i/>
                <w:color w:val="000000"/>
              </w:rPr>
            </w:pPr>
          </w:p>
        </w:tc>
        <w:tc>
          <w:tcPr>
            <w:tcW w:w="4598" w:type="dxa"/>
            <w:tcBorders>
              <w:top w:val="single" w:sz="4" w:space="0" w:color="auto"/>
              <w:left w:val="single" w:sz="4" w:space="0" w:color="auto"/>
              <w:bottom w:val="single" w:sz="4" w:space="0" w:color="auto"/>
              <w:right w:val="single" w:sz="4" w:space="0" w:color="auto"/>
            </w:tcBorders>
            <w:hideMark/>
          </w:tcPr>
          <w:p w:rsidR="00765B4C" w:rsidRPr="00765B4C" w:rsidRDefault="00765B4C">
            <w:pPr>
              <w:spacing w:after="0" w:line="240" w:lineRule="auto"/>
              <w:rPr>
                <w:rFonts w:asciiTheme="minorHAnsi" w:hAnsiTheme="minorHAnsi"/>
                <w:color w:val="00B050"/>
                <w:lang w:eastAsia="en-GB"/>
              </w:rPr>
            </w:pPr>
            <w:r w:rsidRPr="00765B4C">
              <w:rPr>
                <w:rFonts w:asciiTheme="minorHAnsi" w:hAnsiTheme="minorHAnsi"/>
                <w:color w:val="00B050"/>
                <w:lang w:eastAsia="en-GB"/>
              </w:rPr>
              <w:lastRenderedPageBreak/>
              <w:t>Consent (implied)</w:t>
            </w:r>
          </w:p>
          <w:p w:rsidR="00765B4C" w:rsidRPr="00765B4C" w:rsidRDefault="00765B4C">
            <w:pPr>
              <w:spacing w:after="0" w:line="240" w:lineRule="auto"/>
              <w:rPr>
                <w:rFonts w:asciiTheme="minorHAnsi" w:hAnsiTheme="minorHAnsi"/>
                <w:color w:val="000000"/>
              </w:rPr>
            </w:pPr>
            <w:r w:rsidRPr="00765B4C">
              <w:rPr>
                <w:rFonts w:asciiTheme="minorHAnsi" w:hAnsiTheme="minorHAnsi"/>
                <w:color w:val="000000"/>
              </w:rPr>
              <w:br/>
              <w:t>This means that it would be reasonable to infer that you agree to the use of the information as long as:</w:t>
            </w:r>
          </w:p>
          <w:p w:rsidR="00765B4C" w:rsidRPr="00765B4C" w:rsidRDefault="00765B4C">
            <w:pPr>
              <w:pStyle w:val="ListParagraph"/>
              <w:numPr>
                <w:ilvl w:val="0"/>
                <w:numId w:val="3"/>
              </w:numPr>
              <w:spacing w:after="0" w:line="240" w:lineRule="auto"/>
              <w:rPr>
                <w:rFonts w:asciiTheme="minorHAnsi" w:hAnsiTheme="minorHAnsi"/>
                <w:color w:val="000000"/>
              </w:rPr>
            </w:pPr>
            <w:r w:rsidRPr="00765B4C">
              <w:rPr>
                <w:rFonts w:asciiTheme="minorHAnsi" w:hAnsiTheme="minorHAnsi"/>
                <w:color w:val="000000"/>
              </w:rPr>
              <w:lastRenderedPageBreak/>
              <w:t>We are accessing the information to provide or support your direct care, or are satisfied that the person we are sharing the information with is accessing or receiving it for this purpose</w:t>
            </w:r>
          </w:p>
          <w:p w:rsidR="00765B4C" w:rsidRPr="00765B4C" w:rsidRDefault="00765B4C">
            <w:pPr>
              <w:pStyle w:val="ListParagraph"/>
              <w:numPr>
                <w:ilvl w:val="0"/>
                <w:numId w:val="3"/>
              </w:numPr>
              <w:spacing w:after="0" w:line="240" w:lineRule="auto"/>
              <w:rPr>
                <w:rFonts w:asciiTheme="minorHAnsi" w:hAnsiTheme="minorHAnsi"/>
                <w:color w:val="000000"/>
              </w:rPr>
            </w:pPr>
            <w:r w:rsidRPr="00765B4C">
              <w:rPr>
                <w:rFonts w:asciiTheme="minorHAnsi" w:hAnsiTheme="minorHAnsi"/>
                <w:color w:val="000000"/>
              </w:rPr>
              <w:t>Information is readily available to you, explaining how your information will be used and that you have the right to object</w:t>
            </w:r>
          </w:p>
          <w:p w:rsidR="00765B4C" w:rsidRPr="00765B4C" w:rsidRDefault="00765B4C">
            <w:pPr>
              <w:pStyle w:val="ListParagraph"/>
              <w:numPr>
                <w:ilvl w:val="0"/>
                <w:numId w:val="3"/>
              </w:numPr>
              <w:spacing w:after="0" w:line="240" w:lineRule="auto"/>
              <w:rPr>
                <w:rFonts w:asciiTheme="minorHAnsi" w:hAnsiTheme="minorHAnsi"/>
                <w:color w:val="000000"/>
              </w:rPr>
            </w:pPr>
            <w:r w:rsidRPr="00765B4C">
              <w:rPr>
                <w:rFonts w:asciiTheme="minorHAnsi" w:hAnsiTheme="minorHAnsi"/>
                <w:color w:val="000000"/>
              </w:rPr>
              <w:t>We have no reason to believe that you have objected</w:t>
            </w:r>
          </w:p>
          <w:p w:rsidR="00765B4C" w:rsidRPr="00765B4C" w:rsidRDefault="00765B4C">
            <w:pPr>
              <w:pStyle w:val="ListParagraph"/>
              <w:numPr>
                <w:ilvl w:val="0"/>
                <w:numId w:val="3"/>
              </w:numPr>
              <w:spacing w:after="0" w:line="240" w:lineRule="auto"/>
              <w:rPr>
                <w:rFonts w:asciiTheme="minorHAnsi" w:hAnsiTheme="minorHAnsi"/>
                <w:color w:val="000000"/>
              </w:rPr>
            </w:pPr>
            <w:r w:rsidRPr="00765B4C">
              <w:rPr>
                <w:rFonts w:asciiTheme="minorHAnsi" w:hAnsiTheme="minorHAnsi"/>
                <w:color w:val="000000"/>
              </w:rPr>
              <w:t>We are satisfied that anyone we disclose personal information to understands that we are giving it to them in confidence, which they must respect</w:t>
            </w:r>
            <w:r w:rsidRPr="00765B4C">
              <w:rPr>
                <w:rFonts w:asciiTheme="minorHAnsi" w:hAnsiTheme="minorHAnsi"/>
                <w:color w:val="000000"/>
              </w:rPr>
              <w:br/>
            </w: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hideMark/>
          </w:tcPr>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lastRenderedPageBreak/>
              <w:br/>
              <w:t>Purpose of the processing and the lawful basis for the processing</w:t>
            </w:r>
            <w:r w:rsidRPr="00765B4C">
              <w:rPr>
                <w:rFonts w:asciiTheme="minorHAnsi" w:hAnsiTheme="minorHAnsi"/>
                <w:i/>
                <w:color w:val="000000"/>
                <w:lang w:eastAsia="en-GB"/>
              </w:rPr>
              <w:br/>
            </w: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rPr>
              <w:br/>
            </w:r>
            <w:r w:rsidRPr="00765B4C">
              <w:rPr>
                <w:rFonts w:asciiTheme="minorHAnsi" w:hAnsiTheme="minorHAnsi"/>
                <w:color w:val="000000"/>
                <w:lang w:eastAsia="en-GB"/>
              </w:rPr>
              <w:t>To record all relevant information about our patients (the data subjects) within their GP electronic record</w:t>
            </w: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 xml:space="preserve">This is a </w:t>
            </w:r>
            <w:r w:rsidRPr="00765B4C">
              <w:rPr>
                <w:rFonts w:asciiTheme="minorHAnsi" w:hAnsiTheme="minorHAnsi"/>
                <w:b/>
                <w:color w:val="000000"/>
                <w:lang w:eastAsia="en-GB"/>
              </w:rPr>
              <w:t>Direct Care</w:t>
            </w:r>
            <w:r w:rsidRPr="00765B4C">
              <w:rPr>
                <w:rFonts w:asciiTheme="minorHAnsi" w:hAnsiTheme="minorHAnsi"/>
                <w:color w:val="000000"/>
                <w:lang w:eastAsia="en-GB"/>
              </w:rPr>
              <w:t xml:space="preserve"> purpose</w:t>
            </w: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Special category of data (health)</w:t>
            </w:r>
          </w:p>
          <w:p w:rsidR="00765B4C" w:rsidRPr="00765B4C" w:rsidRDefault="00765B4C">
            <w:pPr>
              <w:spacing w:after="0" w:line="240" w:lineRule="auto"/>
              <w:rPr>
                <w:rFonts w:asciiTheme="minorHAnsi" w:hAnsiTheme="minorHAnsi"/>
                <w:b/>
                <w:color w:val="000000"/>
                <w:lang w:eastAsia="en-GB"/>
              </w:rPr>
            </w:pPr>
            <w:r w:rsidRPr="00765B4C">
              <w:rPr>
                <w:rFonts w:asciiTheme="minorHAnsi" w:hAnsiTheme="minorHAnsi"/>
                <w:color w:val="000000"/>
                <w:lang w:eastAsia="en-GB"/>
              </w:rPr>
              <w:t>Lawful bases:</w:t>
            </w:r>
            <w:r w:rsidRPr="00765B4C">
              <w:rPr>
                <w:rFonts w:asciiTheme="minorHAnsi" w:hAnsiTheme="minorHAnsi"/>
                <w:color w:val="000000"/>
                <w:lang w:eastAsia="en-GB"/>
              </w:rPr>
              <w:br/>
            </w:r>
            <w:r w:rsidRPr="00765B4C">
              <w:rPr>
                <w:rFonts w:asciiTheme="minorHAnsi" w:hAnsiTheme="minorHAnsi"/>
                <w:b/>
                <w:color w:val="000000"/>
              </w:rPr>
              <w:t>Article 6(1)(e) – Official Authority</w:t>
            </w:r>
          </w:p>
          <w:p w:rsidR="00765B4C" w:rsidRPr="00765B4C" w:rsidRDefault="00765B4C">
            <w:pPr>
              <w:spacing w:after="0" w:line="240" w:lineRule="auto"/>
              <w:rPr>
                <w:rFonts w:asciiTheme="minorHAnsi" w:hAnsiTheme="minorHAnsi"/>
                <w:b/>
                <w:color w:val="000000"/>
              </w:rPr>
            </w:pPr>
            <w:r w:rsidRPr="00765B4C">
              <w:rPr>
                <w:rFonts w:asciiTheme="minorHAnsi" w:hAnsiTheme="minorHAnsi"/>
                <w:b/>
                <w:color w:val="000000"/>
              </w:rPr>
              <w:t>Article 9(2)(h) – Provision of health</w:t>
            </w:r>
          </w:p>
          <w:p w:rsidR="00765B4C" w:rsidRPr="00765B4C" w:rsidRDefault="00765B4C">
            <w:pPr>
              <w:spacing w:after="0" w:line="240" w:lineRule="auto"/>
              <w:rPr>
                <w:rFonts w:asciiTheme="minorHAnsi" w:hAnsiTheme="minorHAnsi"/>
              </w:rPr>
            </w:pP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rPr>
            </w:pPr>
            <w:r w:rsidRPr="00765B4C">
              <w:rPr>
                <w:rFonts w:asciiTheme="minorHAnsi" w:hAnsiTheme="minorHAnsi"/>
                <w:i/>
                <w:color w:val="000000"/>
              </w:rPr>
              <w:t>Is this:</w:t>
            </w:r>
            <w:r w:rsidRPr="00765B4C">
              <w:rPr>
                <w:rFonts w:asciiTheme="minorHAnsi" w:hAnsiTheme="minorHAnsi"/>
                <w:i/>
                <w:color w:val="000000"/>
              </w:rPr>
              <w:br/>
            </w:r>
          </w:p>
          <w:p w:rsidR="00765B4C" w:rsidRPr="00765B4C" w:rsidRDefault="00765B4C">
            <w:pPr>
              <w:pStyle w:val="ListParagraph"/>
              <w:numPr>
                <w:ilvl w:val="0"/>
                <w:numId w:val="4"/>
              </w:numPr>
              <w:spacing w:after="0" w:line="240" w:lineRule="auto"/>
              <w:rPr>
                <w:rFonts w:asciiTheme="minorHAnsi" w:hAnsiTheme="minorHAnsi"/>
                <w:i/>
                <w:color w:val="C00000"/>
              </w:rPr>
            </w:pPr>
            <w:r w:rsidRPr="00765B4C">
              <w:rPr>
                <w:rFonts w:asciiTheme="minorHAnsi" w:hAnsiTheme="minorHAnsi"/>
                <w:i/>
                <w:color w:val="C00000"/>
              </w:rPr>
              <w:t xml:space="preserve">Access </w:t>
            </w:r>
            <w:r w:rsidRPr="00765B4C">
              <w:rPr>
                <w:rFonts w:asciiTheme="minorHAnsi" w:hAnsiTheme="minorHAnsi"/>
                <w:b/>
                <w:i/>
                <w:color w:val="C00000"/>
              </w:rPr>
              <w:t>to</w:t>
            </w:r>
            <w:r w:rsidRPr="00765B4C">
              <w:rPr>
                <w:rFonts w:asciiTheme="minorHAnsi" w:hAnsiTheme="minorHAnsi"/>
                <w:i/>
                <w:color w:val="C00000"/>
              </w:rPr>
              <w:t xml:space="preserve"> your GP record</w:t>
            </w:r>
          </w:p>
          <w:p w:rsidR="00765B4C" w:rsidRPr="00765B4C" w:rsidRDefault="00765B4C">
            <w:pPr>
              <w:pStyle w:val="ListParagraph"/>
              <w:numPr>
                <w:ilvl w:val="0"/>
                <w:numId w:val="4"/>
              </w:numPr>
              <w:spacing w:after="0" w:line="240" w:lineRule="auto"/>
              <w:rPr>
                <w:rFonts w:asciiTheme="minorHAnsi" w:hAnsiTheme="minorHAnsi"/>
                <w:i/>
                <w:color w:val="7030A0"/>
              </w:rPr>
            </w:pPr>
            <w:r w:rsidRPr="00765B4C">
              <w:rPr>
                <w:rFonts w:asciiTheme="minorHAnsi" w:hAnsiTheme="minorHAnsi"/>
                <w:i/>
                <w:color w:val="7030A0"/>
              </w:rPr>
              <w:t xml:space="preserve">Extraction of information </w:t>
            </w:r>
            <w:r w:rsidRPr="00765B4C">
              <w:rPr>
                <w:rFonts w:asciiTheme="minorHAnsi" w:hAnsiTheme="minorHAnsi"/>
                <w:b/>
                <w:i/>
                <w:color w:val="7030A0"/>
              </w:rPr>
              <w:br/>
              <w:t xml:space="preserve">from </w:t>
            </w:r>
            <w:r w:rsidRPr="00765B4C">
              <w:rPr>
                <w:rFonts w:asciiTheme="minorHAnsi" w:hAnsiTheme="minorHAnsi"/>
                <w:i/>
                <w:color w:val="7030A0"/>
              </w:rPr>
              <w:t>your GP record</w:t>
            </w:r>
          </w:p>
          <w:p w:rsidR="00765B4C" w:rsidRPr="00765B4C" w:rsidRDefault="00765B4C">
            <w:pPr>
              <w:pStyle w:val="ListParagraph"/>
              <w:numPr>
                <w:ilvl w:val="0"/>
                <w:numId w:val="4"/>
              </w:numPr>
              <w:spacing w:after="0" w:line="240" w:lineRule="auto"/>
              <w:rPr>
                <w:rFonts w:asciiTheme="minorHAnsi" w:hAnsiTheme="minorHAnsi"/>
                <w:i/>
                <w:color w:val="7030A0"/>
              </w:rPr>
            </w:pPr>
            <w:r w:rsidRPr="00765B4C">
              <w:rPr>
                <w:rFonts w:asciiTheme="minorHAnsi" w:hAnsiTheme="minorHAnsi"/>
                <w:i/>
                <w:color w:val="00B050"/>
              </w:rPr>
              <w:t>Access to data held about you</w:t>
            </w:r>
            <w:r w:rsidRPr="00765B4C">
              <w:rPr>
                <w:rFonts w:asciiTheme="minorHAnsi" w:hAnsiTheme="minorHAnsi"/>
                <w:i/>
                <w:color w:val="00B050"/>
              </w:rPr>
              <w:br/>
            </w:r>
            <w:r w:rsidRPr="00765B4C">
              <w:rPr>
                <w:rFonts w:asciiTheme="minorHAnsi" w:hAnsiTheme="minorHAnsi"/>
                <w:b/>
                <w:i/>
                <w:color w:val="00B050"/>
              </w:rPr>
              <w:t>by another data controller</w:t>
            </w:r>
          </w:p>
          <w:p w:rsidR="00765B4C" w:rsidRPr="00765B4C" w:rsidRDefault="00765B4C">
            <w:pPr>
              <w:spacing w:after="0" w:line="240" w:lineRule="auto"/>
              <w:rPr>
                <w:rFonts w:asciiTheme="minorHAnsi" w:hAnsiTheme="minorHAnsi"/>
                <w:i/>
                <w:color w:val="7030A0"/>
              </w:rPr>
            </w:pPr>
          </w:p>
        </w:tc>
        <w:tc>
          <w:tcPr>
            <w:tcW w:w="4598" w:type="dxa"/>
            <w:tcBorders>
              <w:top w:val="single" w:sz="4" w:space="0" w:color="auto"/>
              <w:left w:val="single" w:sz="4" w:space="0" w:color="auto"/>
              <w:bottom w:val="single" w:sz="4" w:space="0" w:color="auto"/>
              <w:right w:val="single" w:sz="4" w:space="0" w:color="auto"/>
            </w:tcBorders>
            <w:hideMark/>
          </w:tcPr>
          <w:p w:rsidR="00765B4C" w:rsidRPr="00765B4C" w:rsidRDefault="00765B4C">
            <w:pPr>
              <w:spacing w:after="0" w:line="240" w:lineRule="auto"/>
              <w:rPr>
                <w:rFonts w:asciiTheme="minorHAnsi" w:hAnsiTheme="minorHAnsi"/>
              </w:rPr>
            </w:pPr>
            <w:r w:rsidRPr="00765B4C">
              <w:rPr>
                <w:rFonts w:asciiTheme="minorHAnsi" w:hAnsiTheme="minorHAnsi"/>
              </w:rPr>
              <w:br/>
            </w:r>
            <w:r w:rsidRPr="00765B4C">
              <w:rPr>
                <w:rFonts w:asciiTheme="minorHAnsi" w:hAnsiTheme="minorHAnsi"/>
                <w:color w:val="C00000"/>
              </w:rPr>
              <w:t>Access to the GP record</w:t>
            </w: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The recipient(s), or categories of recipients, of your personal data</w:t>
            </w:r>
          </w:p>
          <w:p w:rsidR="00765B4C" w:rsidRPr="00765B4C" w:rsidRDefault="00765B4C">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rPr>
            </w:pP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 xml:space="preserve">All information about patients, both clinical and demographic, </w:t>
            </w:r>
            <w:proofErr w:type="gramStart"/>
            <w:r w:rsidRPr="00765B4C">
              <w:rPr>
                <w:rFonts w:asciiTheme="minorHAnsi" w:hAnsiTheme="minorHAnsi"/>
                <w:color w:val="000000"/>
                <w:lang w:eastAsia="en-GB"/>
              </w:rPr>
              <w:t>are</w:t>
            </w:r>
            <w:proofErr w:type="gramEnd"/>
            <w:r w:rsidRPr="00765B4C">
              <w:rPr>
                <w:rFonts w:asciiTheme="minorHAnsi" w:hAnsiTheme="minorHAnsi"/>
                <w:color w:val="000000"/>
                <w:lang w:eastAsia="en-GB"/>
              </w:rPr>
              <w:t xml:space="preserve"> recorded in their GP electronic record. That information is then available to others with a legitimate relationship to the patient (see multiple other privacy notices)</w:t>
            </w: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EMIS Health Ltd acts as the data processor for this, hosting the patient records database at their secure servers in Leeds.</w:t>
            </w:r>
          </w:p>
          <w:p w:rsidR="00765B4C" w:rsidRPr="00765B4C" w:rsidRDefault="00765B4C">
            <w:pPr>
              <w:spacing w:after="0" w:line="240" w:lineRule="auto"/>
              <w:rPr>
                <w:rFonts w:asciiTheme="minorHAnsi" w:hAnsiTheme="minorHAnsi"/>
              </w:rPr>
            </w:pP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Retention period of the data (or criteria used to determine the retention period)</w:t>
            </w:r>
          </w:p>
          <w:p w:rsidR="00765B4C" w:rsidRPr="00765B4C" w:rsidRDefault="00765B4C">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rPr>
              <w:br/>
            </w:r>
            <w:r w:rsidRPr="00765B4C">
              <w:rPr>
                <w:rFonts w:asciiTheme="minorHAnsi" w:hAnsiTheme="minorHAnsi"/>
                <w:color w:val="000000"/>
                <w:lang w:eastAsia="en-GB"/>
              </w:rPr>
              <w:t>Standard NHS data retention policy:</w:t>
            </w: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 xml:space="preserve">“GP records should be retained until 10 years after the patient's death or after the patient has </w:t>
            </w:r>
            <w:r w:rsidRPr="00765B4C">
              <w:rPr>
                <w:rFonts w:asciiTheme="minorHAnsi" w:hAnsiTheme="minorHAnsi"/>
                <w:i/>
                <w:color w:val="000000"/>
                <w:lang w:eastAsia="en-GB"/>
              </w:rPr>
              <w:lastRenderedPageBreak/>
              <w:t>permanently left the country, unless they remain in the European Union.</w:t>
            </w:r>
          </w:p>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Electronic patient records must not be destroyed or deleted for the foreseeable future.”</w:t>
            </w: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hyperlink r:id="rId6" w:history="1">
              <w:r w:rsidRPr="00765B4C">
                <w:rPr>
                  <w:rStyle w:val="Hyperlink"/>
                  <w:rFonts w:asciiTheme="minorHAnsi" w:hAnsiTheme="minorHAnsi"/>
                  <w:lang w:eastAsia="en-GB"/>
                </w:rPr>
                <w:t>https://www.nhs.uk/chq/Pages/1889.aspx?CategoryID=68</w:t>
              </w:r>
            </w:hyperlink>
            <w:r w:rsidRPr="00765B4C">
              <w:rPr>
                <w:rFonts w:asciiTheme="minorHAnsi" w:hAnsiTheme="minorHAnsi"/>
                <w:color w:val="000000"/>
                <w:lang w:eastAsia="en-GB"/>
              </w:rPr>
              <w:t xml:space="preserve"> </w:t>
            </w: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hyperlink r:id="rId7" w:history="1">
              <w:r w:rsidRPr="00765B4C">
                <w:rPr>
                  <w:rStyle w:val="Hyperlink"/>
                  <w:rFonts w:asciiTheme="minorHAnsi" w:hAnsiTheme="minorHAnsi"/>
                  <w:lang w:eastAsia="en-GB"/>
                </w:rPr>
                <w:t>https://digital.nhs.uk/media/1159/Retention-schedules-Records-Management-Code-of-Practice-for-Health-and-Social-Care-2016/xls/RMCOP-retention-schedules</w:t>
              </w:r>
            </w:hyperlink>
            <w:r w:rsidRPr="00765B4C">
              <w:rPr>
                <w:rFonts w:asciiTheme="minorHAnsi" w:hAnsiTheme="minorHAnsi"/>
                <w:color w:val="000000"/>
                <w:lang w:eastAsia="en-GB"/>
              </w:rPr>
              <w:t xml:space="preserve"> </w:t>
            </w: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hyperlink r:id="rId8" w:history="1">
              <w:r w:rsidRPr="00765B4C">
                <w:rPr>
                  <w:rStyle w:val="Hyperlink"/>
                  <w:rFonts w:asciiTheme="minorHAnsi" w:hAnsiTheme="minorHAnsi"/>
                  <w:lang w:eastAsia="en-GB"/>
                </w:rPr>
                <w:t>https://digital.nhs.uk/media/1158/Records-Management-Code-of-Practice-for-Health-and-Social-Care-2016/pdf/Records-management-COP-HSC-2016</w:t>
              </w:r>
            </w:hyperlink>
            <w:r w:rsidRPr="00765B4C">
              <w:rPr>
                <w:rFonts w:asciiTheme="minorHAnsi" w:hAnsiTheme="minorHAnsi"/>
                <w:color w:val="000000"/>
                <w:lang w:eastAsia="en-GB"/>
              </w:rPr>
              <w:t xml:space="preserve"> </w:t>
            </w:r>
          </w:p>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 xml:space="preserve">Following the death of a patient all records </w:t>
            </w:r>
            <w:proofErr w:type="gramStart"/>
            <w:r w:rsidRPr="00765B4C">
              <w:rPr>
                <w:rFonts w:asciiTheme="minorHAnsi" w:hAnsiTheme="minorHAnsi"/>
                <w:color w:val="000000"/>
                <w:lang w:eastAsia="en-GB"/>
              </w:rPr>
              <w:t>are</w:t>
            </w:r>
            <w:proofErr w:type="gramEnd"/>
            <w:r w:rsidRPr="00765B4C">
              <w:rPr>
                <w:rFonts w:asciiTheme="minorHAnsi" w:hAnsiTheme="minorHAnsi"/>
                <w:color w:val="000000"/>
                <w:lang w:eastAsia="en-GB"/>
              </w:rPr>
              <w:t xml:space="preserve"> returned to PCSE who retain them for the required period.</w:t>
            </w:r>
          </w:p>
          <w:p w:rsidR="00765B4C" w:rsidRPr="00765B4C" w:rsidRDefault="00765B4C">
            <w:pPr>
              <w:spacing w:after="0" w:line="240" w:lineRule="auto"/>
              <w:rPr>
                <w:rFonts w:asciiTheme="minorHAnsi" w:hAnsiTheme="minorHAnsi"/>
              </w:rPr>
            </w:pP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The existence of each of your rights</w:t>
            </w:r>
          </w:p>
          <w:p w:rsidR="00765B4C" w:rsidRPr="00765B4C" w:rsidRDefault="00765B4C">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color w:val="000000"/>
                <w:lang w:eastAsia="en-GB"/>
              </w:rPr>
            </w:pP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The patient can express an objection to the storing of certain data within their record.</w:t>
            </w: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Article 6(1</w:t>
            </w:r>
            <w:proofErr w:type="gramStart"/>
            <w:r w:rsidRPr="00765B4C">
              <w:rPr>
                <w:rFonts w:asciiTheme="minorHAnsi" w:hAnsiTheme="minorHAnsi"/>
                <w:color w:val="000000"/>
                <w:lang w:eastAsia="en-GB"/>
              </w:rPr>
              <w:t>)(</w:t>
            </w:r>
            <w:proofErr w:type="gramEnd"/>
            <w:r w:rsidRPr="00765B4C">
              <w:rPr>
                <w:rFonts w:asciiTheme="minorHAnsi" w:hAnsiTheme="minorHAnsi"/>
                <w:color w:val="000000"/>
                <w:lang w:eastAsia="en-GB"/>
              </w:rPr>
              <w:t>e) gives the data subject the right to object.</w:t>
            </w: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The right to rectification.</w:t>
            </w:r>
          </w:p>
          <w:p w:rsidR="00765B4C" w:rsidRPr="00765B4C" w:rsidRDefault="00765B4C">
            <w:pPr>
              <w:spacing w:after="0" w:line="240" w:lineRule="auto"/>
              <w:rPr>
                <w:rFonts w:asciiTheme="minorHAnsi" w:hAnsiTheme="minorHAnsi"/>
                <w:color w:val="000000"/>
                <w:lang w:eastAsia="en-GB"/>
              </w:rPr>
            </w:pPr>
            <w:r w:rsidRPr="00765B4C">
              <w:rPr>
                <w:rFonts w:asciiTheme="minorHAnsi" w:hAnsiTheme="minorHAnsi"/>
                <w:color w:val="000000"/>
                <w:lang w:eastAsia="en-GB"/>
              </w:rPr>
              <w:t>The right of access.</w:t>
            </w:r>
          </w:p>
          <w:p w:rsidR="00765B4C" w:rsidRPr="00765B4C" w:rsidRDefault="00765B4C">
            <w:pPr>
              <w:spacing w:after="0" w:line="240" w:lineRule="auto"/>
              <w:rPr>
                <w:rFonts w:asciiTheme="minorHAnsi" w:hAnsiTheme="minorHAnsi"/>
              </w:rPr>
            </w:pP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The right to lodge a complaint with a supervisory authority</w:t>
            </w:r>
          </w:p>
          <w:p w:rsidR="00765B4C" w:rsidRPr="00765B4C" w:rsidRDefault="00765B4C">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rPr>
            </w:pPr>
          </w:p>
          <w:p w:rsidR="00765B4C" w:rsidRPr="00765B4C" w:rsidRDefault="00765B4C">
            <w:pPr>
              <w:spacing w:after="0" w:line="240" w:lineRule="auto"/>
              <w:rPr>
                <w:rFonts w:asciiTheme="minorHAnsi" w:hAnsiTheme="minorHAnsi"/>
              </w:rPr>
            </w:pPr>
            <w:r w:rsidRPr="00765B4C">
              <w:rPr>
                <w:rFonts w:asciiTheme="minorHAnsi" w:hAnsiTheme="minorHAnsi"/>
              </w:rPr>
              <w:t>Yes:</w:t>
            </w:r>
            <w:r w:rsidRPr="00765B4C">
              <w:rPr>
                <w:rFonts w:asciiTheme="minorHAnsi" w:hAnsiTheme="minorHAnsi"/>
              </w:rPr>
              <w:br/>
              <w:t>The Information Commissioner</w:t>
            </w:r>
          </w:p>
        </w:tc>
      </w:tr>
      <w:tr w:rsidR="00765B4C" w:rsidRPr="00765B4C" w:rsidTr="00765B4C">
        <w:tc>
          <w:tcPr>
            <w:tcW w:w="4644"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r w:rsidRPr="00765B4C">
              <w:rPr>
                <w:rFonts w:asciiTheme="minorHAnsi" w:hAnsiTheme="minorHAnsi"/>
                <w:i/>
                <w:color w:val="000000"/>
                <w:lang w:eastAsia="en-GB"/>
              </w:rPr>
              <w:t>The existence of automated decision making, including profiling and information about how decisions are made, the significance and the consequences</w:t>
            </w:r>
          </w:p>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p>
          <w:p w:rsidR="00765B4C" w:rsidRPr="00765B4C" w:rsidRDefault="00765B4C">
            <w:pPr>
              <w:spacing w:after="0" w:line="240" w:lineRule="auto"/>
              <w:rPr>
                <w:rFonts w:asciiTheme="minorHAnsi" w:hAnsiTheme="minorHAnsi"/>
                <w:i/>
                <w:color w:val="000000"/>
                <w:lang w:eastAsia="en-GB"/>
              </w:rPr>
            </w:pPr>
          </w:p>
        </w:tc>
        <w:tc>
          <w:tcPr>
            <w:tcW w:w="4598" w:type="dxa"/>
            <w:tcBorders>
              <w:top w:val="single" w:sz="4" w:space="0" w:color="auto"/>
              <w:left w:val="single" w:sz="4" w:space="0" w:color="auto"/>
              <w:bottom w:val="single" w:sz="4" w:space="0" w:color="auto"/>
              <w:right w:val="single" w:sz="4" w:space="0" w:color="auto"/>
            </w:tcBorders>
          </w:tcPr>
          <w:p w:rsidR="00765B4C" w:rsidRPr="00765B4C" w:rsidRDefault="00765B4C">
            <w:pPr>
              <w:spacing w:after="0" w:line="240" w:lineRule="auto"/>
              <w:rPr>
                <w:rFonts w:asciiTheme="minorHAnsi" w:hAnsiTheme="minorHAnsi"/>
              </w:rPr>
            </w:pPr>
            <w:r w:rsidRPr="00765B4C">
              <w:rPr>
                <w:rFonts w:asciiTheme="minorHAnsi" w:hAnsiTheme="minorHAnsi"/>
              </w:rPr>
              <w:br/>
              <w:t>No</w:t>
            </w:r>
          </w:p>
          <w:p w:rsidR="00765B4C" w:rsidRPr="00765B4C" w:rsidRDefault="00765B4C">
            <w:pPr>
              <w:spacing w:after="0" w:line="240" w:lineRule="auto"/>
              <w:rPr>
                <w:rFonts w:asciiTheme="minorHAnsi" w:hAnsiTheme="minorHAnsi"/>
              </w:rPr>
            </w:pPr>
          </w:p>
        </w:tc>
      </w:tr>
    </w:tbl>
    <w:p w:rsidR="00173BE8" w:rsidRPr="00765B4C" w:rsidRDefault="00173BE8">
      <w:pPr>
        <w:rPr>
          <w:rFonts w:asciiTheme="minorHAnsi" w:hAnsiTheme="minorHAnsi"/>
        </w:rPr>
      </w:pPr>
    </w:p>
    <w:sectPr w:rsidR="00173BE8" w:rsidRPr="0076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845"/>
    <w:multiLevelType w:val="hybridMultilevel"/>
    <w:tmpl w:val="A07C5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3E852C2F"/>
    <w:multiLevelType w:val="hybridMultilevel"/>
    <w:tmpl w:val="93BC3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78D010C2"/>
    <w:multiLevelType w:val="hybridMultilevel"/>
    <w:tmpl w:val="259638F4"/>
    <w:lvl w:ilvl="0" w:tplc="08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4C"/>
    <w:rsid w:val="00173BE8"/>
    <w:rsid w:val="0076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4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B4C"/>
    <w:rPr>
      <w:rFonts w:ascii="Times New Roman" w:hAnsi="Times New Roman" w:cs="Times New Roman" w:hint="default"/>
      <w:color w:val="0000FF"/>
      <w:u w:val="single"/>
    </w:rPr>
  </w:style>
  <w:style w:type="paragraph" w:styleId="ListParagraph">
    <w:name w:val="List Paragraph"/>
    <w:basedOn w:val="Normal"/>
    <w:uiPriority w:val="99"/>
    <w:qFormat/>
    <w:rsid w:val="0076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4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B4C"/>
    <w:rPr>
      <w:rFonts w:ascii="Times New Roman" w:hAnsi="Times New Roman" w:cs="Times New Roman" w:hint="default"/>
      <w:color w:val="0000FF"/>
      <w:u w:val="single"/>
    </w:rPr>
  </w:style>
  <w:style w:type="paragraph" w:styleId="ListParagraph">
    <w:name w:val="List Paragraph"/>
    <w:basedOn w:val="Normal"/>
    <w:uiPriority w:val="99"/>
    <w:qFormat/>
    <w:rsid w:val="0076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media/1158/Records-Management-Code-of-Practice-for-Health-and-Social-Care-2016/pdf/Records-management-COP-HSC-2016" TargetMode="External"/><Relationship Id="rId3" Type="http://schemas.microsoft.com/office/2007/relationships/stylesWithEffects" Target="stylesWithEffects.xml"/><Relationship Id="rId7" Type="http://schemas.openxmlformats.org/officeDocument/2006/relationships/hyperlink" Target="https://digital.nhs.uk/media/1159/Retention-schedules-Records-Management-Code-of-Practice-for-Health-and-Social-Care-2016/xls/RMCOP-retention-sche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hq/Pages/1889.aspx?CategoryID=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2018-05-09T15:48:00Z</dcterms:created>
  <dcterms:modified xsi:type="dcterms:W3CDTF">2018-05-09T15:52:00Z</dcterms:modified>
</cp:coreProperties>
</file>